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erif 4" w:cs="Source Serif 4" w:eastAsia="Source Serif 4" w:hAnsi="Source Serif 4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erif 4" w:cs="Source Serif 4" w:eastAsia="Source Serif 4" w:hAnsi="Source Serif 4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erif 4" w:cs="Source Serif 4" w:eastAsia="Source Serif 4" w:hAnsi="Source Serif 4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erif 4" w:cs="Source Serif 4" w:eastAsia="Source Serif 4" w:hAnsi="Source Serif 4"/>
          <w:b/>
          <w:bCs/>
          <w:sz w:val="22"/>
          <w:szCs w:val="22"/>
        </w:rPr>
        <w:t xml:space="preserve">Public University, Bachelor of Science in Finance</w:t>
      </w:r>
      <w:r>
        <w:t xml:space="preserve">	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Expected May 2027</w:t>
      </w:r>
    </w:p>
    <w:p>
      <w:pPr>
        <w:spacing w:after="40"/>
      </w:pPr>
      <w:r>
        <w:rPr>
          <w:rFonts w:ascii="Source Serif 4" w:cs="Source Serif 4" w:eastAsia="Source Serif 4" w:hAnsi="Source Serif 4"/>
          <w:b/>
          <w:bCs/>
          <w:sz w:val="21"/>
          <w:szCs w:val="21"/>
        </w:rPr>
        <w:t xml:space="preserve">GPA: 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3.86/4.00; Honors Program; selected coursework: Corporate Finance, Accounting, Valuation, Statistics</w:t>
      </w:r>
    </w:p>
    <w:p>
      <w:pPr>
        <w:spacing w:after="40"/>
      </w:pPr>
      <w:r>
        <w:rPr>
          <w:rFonts w:ascii="Source Serif 4" w:cs="Source Serif 4" w:eastAsia="Source Serif 4" w:hAnsi="Source Serif 4"/>
          <w:b w:val="false"/>
          <w:bCs w:val="false"/>
          <w:sz w:val="21"/>
          <w:szCs w:val="21"/>
        </w:rPr>
        <w:t xml:space="preserve">Finance Society Investment Fund Analyst; built weekly pitch memos covering public equities and industry catalysts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erif 4" w:cs="Source Serif 4" w:eastAsia="Source Serif 4" w:hAnsi="Source Serif 4"/>
          <w:b/>
          <w:bCs/>
          <w:color w:val="000000"/>
          <w:sz w:val="20"/>
          <w:szCs w:val="20"/>
        </w:rPr>
        <w:t xml:space="preserve">WORK &amp; LEADERSHIP EXPERIENCE</w:t>
      </w:r>
    </w:p>
    <w:p>
      <w:pPr>
        <w:spacing w:after="40"/>
      </w:pPr>
      <w:r>
        <w:rPr>
          <w:rFonts w:ascii="Source Serif 4" w:cs="Source Serif 4" w:eastAsia="Source Serif 4" w:hAnsi="Source Serif 4"/>
          <w:b/>
          <w:bCs/>
          <w:sz w:val="21"/>
          <w:szCs w:val="21"/>
        </w:rPr>
        <w:t xml:space="preserve">Middle-Market Advisory Firm</w:t>
      </w:r>
    </w:p>
    <w:p>
      <w:pPr>
        <w:tabs>
          <w:tab w:val="right" w:pos="9026"/>
        </w:tabs>
        <w:spacing w:after="40" w:before="80"/>
      </w:pPr>
      <w:r>
        <w:rPr>
          <w:rFonts w:ascii="Source Serif 4" w:cs="Source Serif 4" w:eastAsia="Source Serif 4" w:hAnsi="Source Serif 4"/>
          <w:b/>
          <w:bCs/>
          <w:sz w:val="22"/>
          <w:szCs w:val="22"/>
        </w:rPr>
        <w:t xml:space="preserve">Investment Banking Summer Analyst</w:t>
      </w:r>
      <w:r>
        <w:t xml:space="preserve">	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Jun 2025 - Aug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Built DCF, comparable company, and precedent transaction analyses for a sell-side healthcare services pitch, triangulating valuation range across 18 public comps and 12 precedent deals.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Drafted buyer universe of 90 strategic and sponsor targets by segment, acquisition history, and estimated check size, helping the team prioritize 24 outreach targets.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Reconciled revenue, EBITDA, working capital, and customer concentration schedules from a confidential information memorandum to identify diligence questions before management calls.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Formatted pitch-book pages, football-field output, and operating KPI tables under associate review, incorporating markups quickly while preserving source-link accuracy.</w:t>
      </w:r>
    </w:p>
    <w:p>
      <w:pPr>
        <w:spacing w:after="40"/>
      </w:pPr>
      <w:r>
        <w:rPr>
          <w:rFonts w:ascii="Source Serif 4" w:cs="Source Serif 4" w:eastAsia="Source Serif 4" w:hAnsi="Source Serif 4"/>
          <w:b/>
          <w:bCs/>
          <w:sz w:val="21"/>
          <w:szCs w:val="21"/>
        </w:rPr>
        <w:t xml:space="preserve">Student Investment Fund</w:t>
      </w:r>
    </w:p>
    <w:p>
      <w:pPr>
        <w:tabs>
          <w:tab w:val="right" w:pos="9026"/>
        </w:tabs>
        <w:spacing w:after="40" w:before="80"/>
      </w:pPr>
      <w:r>
        <w:rPr>
          <w:rFonts w:ascii="Source Serif 4" w:cs="Source Serif 4" w:eastAsia="Source Serif 4" w:hAnsi="Source Serif 4"/>
          <w:b/>
          <w:bCs/>
          <w:sz w:val="22"/>
          <w:szCs w:val="22"/>
        </w:rPr>
        <w:t xml:space="preserve">Consumer Sector Analyst</w:t>
      </w:r>
      <w:r>
        <w:t xml:space="preserve">	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Sep 2024 -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Pitched a long equity recommendation after analyzing unit economics, same-store sales, margin bridge, and management guidance; recommendation was approved for a 4% portfolio position.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Created a quarterly earnings tracker comparing consensus estimates, reported results, and valuation movement across 14 consumer companies.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Led training session for 12 new analysts on comparable company selection, revenue build assumptions, and investment memo structure.</w:t>
      </w:r>
    </w:p>
    <w:p>
      <w:pPr>
        <w:spacing w:after="40"/>
      </w:pPr>
      <w:r>
        <w:rPr>
          <w:rFonts w:ascii="Source Serif 4" w:cs="Source Serif 4" w:eastAsia="Source Serif 4" w:hAnsi="Source Serif 4"/>
          <w:b/>
          <w:bCs/>
          <w:sz w:val="21"/>
          <w:szCs w:val="21"/>
        </w:rPr>
        <w:t xml:space="preserve">Search Fund Project</w:t>
      </w:r>
    </w:p>
    <w:p>
      <w:pPr>
        <w:tabs>
          <w:tab w:val="right" w:pos="9026"/>
        </w:tabs>
        <w:spacing w:after="40" w:before="80"/>
      </w:pPr>
      <w:r>
        <w:rPr>
          <w:rFonts w:ascii="Source Serif 4" w:cs="Source Serif 4" w:eastAsia="Source Serif 4" w:hAnsi="Source Serif 4"/>
          <w:b/>
          <w:bCs/>
          <w:sz w:val="22"/>
          <w:szCs w:val="22"/>
        </w:rPr>
        <w:t xml:space="preserve">Acquisition Diligence Analyst</w:t>
      </w:r>
      <w:r>
        <w:t xml:space="preserve">	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Jan 2025 - Apr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Screened 120 founder-owned software and services companies by revenue quality, customer concentration, churn, and owner succession risk.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Built three-statement operating model with downside case, debt capacity, and working-capital assumptions for a board-style investment memo.</w:t>
      </w:r>
    </w:p>
    <w:p>
      <w:pPr>
        <w:spacing w:after="40"/>
      </w:pPr>
      <w:r>
        <w:rPr>
          <w:rFonts w:ascii="Source Serif 4" w:cs="Source Serif 4" w:eastAsia="Source Serif 4" w:hAnsi="Source Serif 4"/>
          <w:b/>
          <w:bCs/>
          <w:sz w:val="21"/>
          <w:szCs w:val="21"/>
        </w:rPr>
        <w:t xml:space="preserve">Finance Society</w:t>
      </w:r>
    </w:p>
    <w:p>
      <w:pPr>
        <w:tabs>
          <w:tab w:val="right" w:pos="9026"/>
        </w:tabs>
        <w:spacing w:after="40" w:before="80"/>
      </w:pPr>
      <w:r>
        <w:rPr>
          <w:rFonts w:ascii="Source Serif 4" w:cs="Source Serif 4" w:eastAsia="Source Serif 4" w:hAnsi="Source Serif 4"/>
          <w:b/>
          <w:bCs/>
          <w:sz w:val="22"/>
          <w:szCs w:val="22"/>
        </w:rPr>
        <w:t xml:space="preserve">Mentorship Chair</w:t>
      </w:r>
      <w:r>
        <w:t xml:space="preserve">	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Sep 2024 -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Matched 36 underclass students with upperclass finance mentors and organized weekly technical prep covering accounting, valuation, and market discussion.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erif 4" w:cs="Source Serif 4" w:eastAsia="Source Serif 4" w:hAnsi="Source Serif 4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erif 4" w:cs="Source Serif 4" w:eastAsia="Source Serif 4" w:hAnsi="Source Serif 4"/>
          <w:b/>
          <w:bCs/>
          <w:sz w:val="21"/>
          <w:szCs w:val="21"/>
        </w:rPr>
        <w:t xml:space="preserve">Finance: 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DCF valuation, comparable companies, precedent transactions, LBO fundamentals, accounting, market research</w:t>
      </w:r>
    </w:p>
    <w:p>
      <w:pPr>
        <w:spacing w:after="40"/>
      </w:pPr>
      <w:r>
        <w:rPr>
          <w:rFonts w:ascii="Source Serif 4" w:cs="Source Serif 4" w:eastAsia="Source Serif 4" w:hAnsi="Source Serif 4"/>
          <w:b/>
          <w:bCs/>
          <w:sz w:val="21"/>
          <w:szCs w:val="21"/>
        </w:rPr>
        <w:t xml:space="preserve">Tools: 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Excel, PowerPoint, Capital IQ-style screening, data tables, sensitivity analysis, pitch book formatting</w:t>
      </w:r>
    </w:p>
    <w:p>
      <w:pPr>
        <w:spacing w:after="40"/>
      </w:pPr>
      <w:r>
        <w:rPr>
          <w:rFonts w:ascii="Source Serif 4" w:cs="Source Serif 4" w:eastAsia="Source Serif 4" w:hAnsi="Source Serif 4"/>
          <w:b/>
          <w:bCs/>
          <w:sz w:val="21"/>
          <w:szCs w:val="21"/>
        </w:rPr>
        <w:t xml:space="preserve">Additional: 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Spanish professional working proficiency; marathon training; community tutoring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2026-10-12T15:53:17.615Z</dcterms:created>
  <dcterms:modified xsi:type="dcterms:W3CDTF">2026-10-12T15:53:17.615Z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