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erif 4" w:cs="Source Serif 4" w:eastAsia="Source Serif 4" w:hAnsi="Source Serif 4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erif 4" w:cs="Source Serif 4" w:eastAsia="Source Serif 4" w:hAnsi="Source Serif 4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Public University, Bachelor of Science in Finance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Expected May 2027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GPA: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3.86/4.00; Honors Program; selected coursework: Corporate Finance, Accounting, Valuation, Statistics</w:t>
      </w:r>
    </w:p>
    <w:p>
      <w:pPr>
        <w:spacing w:after="40"/>
      </w:pPr>
      <w:r>
        <w:rPr>
          <w:rFonts w:ascii="Source Serif 4" w:cs="Source Serif 4" w:eastAsia="Source Serif 4" w:hAnsi="Source Serif 4"/>
          <w:b w:val="false"/>
          <w:bCs w:val="false"/>
          <w:sz w:val="21"/>
          <w:szCs w:val="21"/>
        </w:rPr>
        <w:t xml:space="preserve">Finance Society Investment Fund Analyst; built weekly pitch memos covering public equities and industry catalysts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WORK &amp; LEADERSHIP EXPERIENCE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Middle-Market Advisory Firm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Investment Banking Summer Analyst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Jun 2025 - Aug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Built DCF, comparable company, and precedent transaction analyses for a sell-side healthcare services pitch, triangulating valuation range across 18 public comps and 12 precedent deals.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Drafted buyer universe of 90 strategic and sponsor targets by segment, acquisition history, and estimated check size, helping the team prioritize 24 outreach targets.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Reconciled revenue, EBITDA, working capital, and customer concentration schedules from a confidential information memorandum to identify diligence questions before management calls.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Formatted pitch-book pages, football-field output, and operating KPI tables under associate review, incorporating markups quickly while preserving source-link accuracy.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Student Investment Fund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Consumer Sector Analyst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Sep 2024 -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Pitched a long equity recommendation after analyzing unit economics, same-store sales, margin bridge, and management guidance; recommendation was approved for a 4% portfolio position.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Created a quarterly earnings tracker comparing consensus estimates, reported results, and valuation movement across 14 consumer companies.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Led training session for 12 new analysts on comparable company selection, revenue build assumptions, and investment memo structure.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Search Fund Project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Acquisition Diligence Analyst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Jan 2025 - Apr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Screened 120 founder-owned software and services companies by revenue quality, customer concentration, churn, and owner succession risk.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Built three-statement operating model with downside case, debt capacity, and working-capital assumptions for a board-style investment memo.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Finance Society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Mentorship Chair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Sep 2024 -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Matched 36 underclass students with upperclass finance mentors and organized weekly technical prep covering accounting, valuation, and market discussion.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Finance: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DCF valuation, comparable companies, precedent transactions, LBO fundamentals, accounting, market research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Tools: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Excel, PowerPoint, Capital IQ-style screening, data tables, sensitivity analysis, pitch book formatting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Additional: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Spanish professional working proficiency; marathon training; community tutoring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2026-08-24T10:40:20.014Z</dcterms:created>
  <dcterms:modified xsi:type="dcterms:W3CDTF">2026-08-24T10:40:20.014Z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