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EB Garamond" w:cs="EB Garamond" w:eastAsia="EB Garamond" w:hAnsi="EB Garamond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EB Garamond" w:cs="EB Garamond" w:eastAsia="EB Garamond" w:hAnsi="EB Garamond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EB Garamond" w:cs="EB Garamond" w:eastAsia="EB Garamond" w:hAnsi="EB Garamond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EB Garamond" w:cs="EB Garamond" w:eastAsia="EB Garamond" w:hAnsi="EB Garamond"/>
          <w:b/>
          <w:bCs/>
          <w:sz w:val="22"/>
          <w:szCs w:val="22"/>
        </w:rPr>
        <w:t xml:space="preserve">Public Law School, Juris Doctor Candidate</w:t>
      </w:r>
      <w:r>
        <w:t xml:space="preserve">	</w:t>
      </w:r>
      <w:r>
        <w:rPr>
          <w:rFonts w:ascii="EB Garamond" w:cs="EB Garamond" w:eastAsia="EB Garamond" w:hAnsi="EB Garamond"/>
          <w:sz w:val="21"/>
          <w:szCs w:val="21"/>
        </w:rPr>
        <w:t xml:space="preserve">Expected May 2027</w:t>
      </w:r>
    </w:p>
    <w:p>
      <w:pPr>
        <w:tabs>
          <w:tab w:val="right" w:pos="9026"/>
        </w:tabs>
        <w:spacing w:after="40" w:before="80"/>
      </w:pPr>
      <w:r>
        <w:rPr>
          <w:rFonts w:ascii="EB Garamond" w:cs="EB Garamond" w:eastAsia="EB Garamond" w:hAnsi="EB Garamond"/>
          <w:b/>
          <w:bCs/>
          <w:sz w:val="22"/>
          <w:szCs w:val="22"/>
        </w:rPr>
        <w:t xml:space="preserve">Honors: Dean's List</w:t>
      </w:r>
      <w:r>
        <w:t xml:space="preserve">	</w:t>
      </w:r>
      <w:r>
        <w:rPr>
          <w:rFonts w:ascii="EB Garamond" w:cs="EB Garamond" w:eastAsia="EB Garamond" w:hAnsi="EB Garamond"/>
          <w:sz w:val="21"/>
          <w:szCs w:val="21"/>
        </w:rPr>
        <w:t xml:space="preserve">Journal: Staff Editor, Public Interest Law Journal</w:t>
      </w:r>
    </w:p>
    <w:p>
      <w:pPr>
        <w:spacing w:after="40"/>
      </w:pPr>
      <w:r>
        <w:rPr>
          <w:rFonts w:ascii="EB Garamond" w:cs="EB Garamond" w:eastAsia="EB Garamond" w:hAnsi="EB Garamond"/>
          <w:b/>
          <w:bCs/>
          <w:sz w:val="21"/>
          <w:szCs w:val="21"/>
        </w:rPr>
        <w:t xml:space="preserve">Activities: </w:t>
      </w:r>
      <w:r>
        <w:rPr>
          <w:rFonts w:ascii="EB Garamond" w:cs="EB Garamond" w:eastAsia="EB Garamond" w:hAnsi="EB Garamond"/>
          <w:sz w:val="21"/>
          <w:szCs w:val="21"/>
        </w:rPr>
        <w:t xml:space="preserve">Moot Court Board; Legal Aid Clinic; First-Generation Law Students Association</w:t>
      </w:r>
    </w:p>
    <w:p>
      <w:pPr>
        <w:tabs>
          <w:tab w:val="right" w:pos="9026"/>
        </w:tabs>
        <w:spacing w:after="40" w:before="80"/>
      </w:pPr>
      <w:r>
        <w:rPr>
          <w:rFonts w:ascii="EB Garamond" w:cs="EB Garamond" w:eastAsia="EB Garamond" w:hAnsi="EB Garamond"/>
          <w:b/>
          <w:bCs/>
          <w:sz w:val="22"/>
          <w:szCs w:val="22"/>
        </w:rPr>
        <w:t xml:space="preserve">Public University, Bachelor of Arts in Political Science</w:t>
      </w:r>
      <w:r>
        <w:t xml:space="preserve">	</w:t>
      </w:r>
      <w:r>
        <w:rPr>
          <w:rFonts w:ascii="EB Garamond" w:cs="EB Garamond" w:eastAsia="EB Garamond" w:hAnsi="EB Garamond"/>
          <w:sz w:val="21"/>
          <w:szCs w:val="21"/>
        </w:rPr>
        <w:t xml:space="preserve">May 2024</w:t>
      </w:r>
    </w:p>
    <w:p>
      <w:pPr>
        <w:pBdr>
          <w:bottom w:val="single" w:color="111827" w:sz="1"/>
        </w:pBdr>
        <w:spacing w:after="80" w:before="240"/>
      </w:pPr>
      <w:r>
        <w:rPr>
          <w:rFonts w:ascii="EB Garamond" w:cs="EB Garamond" w:eastAsia="EB Garamond" w:hAnsi="EB Garamond"/>
          <w:b/>
          <w:bCs/>
          <w:color w:val="111827"/>
          <w:sz w:val="20"/>
          <w:szCs w:val="20"/>
        </w:rPr>
        <w:t xml:space="preserve">LEGAL EXPERIENCE</w:t>
      </w:r>
    </w:p>
    <w:p>
      <w:pPr>
        <w:spacing w:after="40"/>
      </w:pPr>
      <w:r>
        <w:rPr>
          <w:rFonts w:ascii="EB Garamond" w:cs="EB Garamond" w:eastAsia="EB Garamond" w:hAnsi="EB Garamond"/>
          <w:b/>
          <w:bCs/>
          <w:sz w:val="21"/>
          <w:szCs w:val="21"/>
        </w:rPr>
        <w:t xml:space="preserve">Legal Aid Clinic</w:t>
      </w:r>
    </w:p>
    <w:p>
      <w:pPr>
        <w:tabs>
          <w:tab w:val="right" w:pos="9026"/>
        </w:tabs>
        <w:spacing w:after="40" w:before="80"/>
      </w:pPr>
      <w:r>
        <w:rPr>
          <w:rFonts w:ascii="EB Garamond" w:cs="EB Garamond" w:eastAsia="EB Garamond" w:hAnsi="EB Garamond"/>
          <w:b/>
          <w:bCs/>
          <w:sz w:val="22"/>
          <w:szCs w:val="22"/>
        </w:rPr>
        <w:t xml:space="preserve">Student Advocate</w:t>
      </w:r>
      <w:r>
        <w:t xml:space="preserve">	</w:t>
      </w:r>
      <w:r>
        <w:rPr>
          <w:rFonts w:ascii="EB Garamond" w:cs="EB Garamond" w:eastAsia="EB Garamond" w:hAnsi="EB Garamond"/>
          <w:sz w:val="21"/>
          <w:szCs w:val="21"/>
        </w:rPr>
        <w:t xml:space="preserve">Jan 2026 -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EB Garamond" w:cs="EB Garamond" w:eastAsia="EB Garamond" w:hAnsi="EB Garamond"/>
          <w:sz w:val="21"/>
          <w:szCs w:val="21"/>
        </w:rPr>
        <w:t xml:space="preserve">Conducted client intake interviews under attorney supervision, identifying facts, deadlines, documents, and potential remedies for housing and benefits matters.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EB Garamond" w:cs="EB Garamond" w:eastAsia="EB Garamond" w:hAnsi="EB Garamond"/>
          <w:sz w:val="21"/>
          <w:szCs w:val="21"/>
        </w:rPr>
        <w:t xml:space="preserve">Drafted research memos on administrative procedure and tenant protections, synthesizing statutes, regulations, and case law into attorney-ready recommendations.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EB Garamond" w:cs="EB Garamond" w:eastAsia="EB Garamond" w:hAnsi="EB Garamond"/>
          <w:sz w:val="21"/>
          <w:szCs w:val="21"/>
        </w:rPr>
        <w:t xml:space="preserve">Prepared hearing binders with pleadings, exhibits, service records, and chronology notes so supervising attorneys could review matters before appearances.</w:t>
      </w:r>
    </w:p>
    <w:p>
      <w:pPr>
        <w:spacing w:after="40"/>
      </w:pPr>
      <w:r>
        <w:rPr>
          <w:rFonts w:ascii="EB Garamond" w:cs="EB Garamond" w:eastAsia="EB Garamond" w:hAnsi="EB Garamond"/>
          <w:b/>
          <w:bCs/>
          <w:sz w:val="21"/>
          <w:szCs w:val="21"/>
        </w:rPr>
        <w:t xml:space="preserve">Public Interest Organization</w:t>
      </w:r>
    </w:p>
    <w:p>
      <w:pPr>
        <w:tabs>
          <w:tab w:val="right" w:pos="9026"/>
        </w:tabs>
        <w:spacing w:after="40" w:before="80"/>
      </w:pPr>
      <w:r>
        <w:rPr>
          <w:rFonts w:ascii="EB Garamond" w:cs="EB Garamond" w:eastAsia="EB Garamond" w:hAnsi="EB Garamond"/>
          <w:b/>
          <w:bCs/>
          <w:sz w:val="22"/>
          <w:szCs w:val="22"/>
        </w:rPr>
        <w:t xml:space="preserve">Legal Intern</w:t>
      </w:r>
      <w:r>
        <w:t xml:space="preserve">	</w:t>
      </w:r>
      <w:r>
        <w:rPr>
          <w:rFonts w:ascii="EB Garamond" w:cs="EB Garamond" w:eastAsia="EB Garamond" w:hAnsi="EB Garamond"/>
          <w:sz w:val="21"/>
          <w:szCs w:val="21"/>
        </w:rPr>
        <w:t xml:space="preserve">Jun 2025 - Aug 2025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EB Garamond" w:cs="EB Garamond" w:eastAsia="EB Garamond" w:hAnsi="EB Garamond"/>
          <w:sz w:val="21"/>
          <w:szCs w:val="21"/>
        </w:rPr>
        <w:t xml:space="preserve">Researched state and federal authorities for impact litigation team and prepared concise case summaries for attorney review.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EB Garamond" w:cs="EB Garamond" w:eastAsia="EB Garamond" w:hAnsi="EB Garamond"/>
          <w:sz w:val="21"/>
          <w:szCs w:val="21"/>
        </w:rPr>
        <w:t xml:space="preserve">Assisted with know-your-rights materials by translating legal standards into plain-language guidance for community workshops.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EB Garamond" w:cs="EB Garamond" w:eastAsia="EB Garamond" w:hAnsi="EB Garamond"/>
          <w:sz w:val="21"/>
          <w:szCs w:val="21"/>
        </w:rPr>
        <w:t xml:space="preserve">Reviewed intake data to identify recurring access-to-benefits issues and summarized patterns for a policy advocacy memo.</w:t>
      </w:r>
    </w:p>
    <w:p>
      <w:pPr>
        <w:pBdr>
          <w:bottom w:val="single" w:color="111827" w:sz="1"/>
        </w:pBdr>
        <w:spacing w:after="80" w:before="240"/>
      </w:pPr>
      <w:r>
        <w:rPr>
          <w:rFonts w:ascii="EB Garamond" w:cs="EB Garamond" w:eastAsia="EB Garamond" w:hAnsi="EB Garamond"/>
          <w:b/>
          <w:bCs/>
          <w:color w:val="111827"/>
          <w:sz w:val="20"/>
          <w:szCs w:val="20"/>
        </w:rPr>
        <w:t xml:space="preserve">JOURNAL &amp; ADVOCACY</w:t>
      </w:r>
    </w:p>
    <w:p>
      <w:pPr>
        <w:spacing w:after="40"/>
      </w:pPr>
      <w:r>
        <w:rPr>
          <w:rFonts w:ascii="EB Garamond" w:cs="EB Garamond" w:eastAsia="EB Garamond" w:hAnsi="EB Garamond"/>
          <w:b/>
          <w:bCs/>
          <w:sz w:val="21"/>
          <w:szCs w:val="21"/>
        </w:rPr>
        <w:t xml:space="preserve">Public Interest Law Journal</w:t>
      </w:r>
    </w:p>
    <w:p>
      <w:pPr>
        <w:tabs>
          <w:tab w:val="right" w:pos="9026"/>
        </w:tabs>
        <w:spacing w:after="40" w:before="80"/>
      </w:pPr>
      <w:r>
        <w:rPr>
          <w:rFonts w:ascii="EB Garamond" w:cs="EB Garamond" w:eastAsia="EB Garamond" w:hAnsi="EB Garamond"/>
          <w:b/>
          <w:bCs/>
          <w:sz w:val="22"/>
          <w:szCs w:val="22"/>
        </w:rPr>
        <w:t xml:space="preserve">Staff Editor</w:t>
      </w:r>
      <w:r>
        <w:t xml:space="preserve">	</w:t>
      </w:r>
      <w:r>
        <w:rPr>
          <w:rFonts w:ascii="EB Garamond" w:cs="EB Garamond" w:eastAsia="EB Garamond" w:hAnsi="EB Garamond"/>
          <w:sz w:val="21"/>
          <w:szCs w:val="21"/>
        </w:rPr>
        <w:t xml:space="preserve">Aug 2025 -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EB Garamond" w:cs="EB Garamond" w:eastAsia="EB Garamond" w:hAnsi="EB Garamond"/>
          <w:sz w:val="21"/>
          <w:szCs w:val="21"/>
        </w:rPr>
        <w:t xml:space="preserve">Cite-checked student notes for Bluebook accuracy, source support, and internal consistency under editorial deadlines.</w:t>
      </w:r>
    </w:p>
    <w:p>
      <w:pPr>
        <w:spacing w:after="40"/>
      </w:pPr>
      <w:r>
        <w:rPr>
          <w:rFonts w:ascii="EB Garamond" w:cs="EB Garamond" w:eastAsia="EB Garamond" w:hAnsi="EB Garamond"/>
          <w:b/>
          <w:bCs/>
          <w:sz w:val="21"/>
          <w:szCs w:val="21"/>
        </w:rPr>
        <w:t xml:space="preserve">Moot Court Board</w:t>
      </w:r>
    </w:p>
    <w:p>
      <w:pPr>
        <w:tabs>
          <w:tab w:val="right" w:pos="9026"/>
        </w:tabs>
        <w:spacing w:after="40" w:before="80"/>
      </w:pPr>
      <w:r>
        <w:rPr>
          <w:rFonts w:ascii="EB Garamond" w:cs="EB Garamond" w:eastAsia="EB Garamond" w:hAnsi="EB Garamond"/>
          <w:b/>
          <w:bCs/>
          <w:sz w:val="22"/>
          <w:szCs w:val="22"/>
        </w:rPr>
        <w:t xml:space="preserve">Team Member</w:t>
      </w:r>
      <w:r>
        <w:t xml:space="preserve">	</w:t>
      </w:r>
      <w:r>
        <w:rPr>
          <w:rFonts w:ascii="EB Garamond" w:cs="EB Garamond" w:eastAsia="EB Garamond" w:hAnsi="EB Garamond"/>
          <w:sz w:val="21"/>
          <w:szCs w:val="21"/>
        </w:rPr>
        <w:t xml:space="preserve">Sep 2025 -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EB Garamond" w:cs="EB Garamond" w:eastAsia="EB Garamond" w:hAnsi="EB Garamond"/>
          <w:sz w:val="21"/>
          <w:szCs w:val="21"/>
        </w:rPr>
        <w:t xml:space="preserve">Drafted appellate argument outline and practiced judge-style questioning, refining issue framing and record citations with peer feedback.</w:t>
      </w:r>
    </w:p>
    <w:p>
      <w:pPr>
        <w:pBdr>
          <w:bottom w:val="single" w:color="111827" w:sz="1"/>
        </w:pBdr>
        <w:spacing w:after="80" w:before="240"/>
      </w:pPr>
      <w:r>
        <w:rPr>
          <w:rFonts w:ascii="EB Garamond" w:cs="EB Garamond" w:eastAsia="EB Garamond" w:hAnsi="EB Garamond"/>
          <w:b/>
          <w:bCs/>
          <w:color w:val="111827"/>
          <w:sz w:val="20"/>
          <w:szCs w:val="20"/>
        </w:rPr>
        <w:t xml:space="preserve">ADDITIONAL EXPERIENCE</w:t>
      </w:r>
    </w:p>
    <w:p>
      <w:pPr>
        <w:spacing w:after="40"/>
      </w:pPr>
      <w:r>
        <w:rPr>
          <w:rFonts w:ascii="EB Garamond" w:cs="EB Garamond" w:eastAsia="EB Garamond" w:hAnsi="EB Garamond"/>
          <w:b/>
          <w:bCs/>
          <w:sz w:val="21"/>
          <w:szCs w:val="21"/>
        </w:rPr>
        <w:t xml:space="preserve">Community Services Organization</w:t>
      </w:r>
    </w:p>
    <w:p>
      <w:pPr>
        <w:tabs>
          <w:tab w:val="right" w:pos="9026"/>
        </w:tabs>
        <w:spacing w:after="40" w:before="80"/>
      </w:pPr>
      <w:r>
        <w:rPr>
          <w:rFonts w:ascii="EB Garamond" w:cs="EB Garamond" w:eastAsia="EB Garamond" w:hAnsi="EB Garamond"/>
          <w:b/>
          <w:bCs/>
          <w:sz w:val="22"/>
          <w:szCs w:val="22"/>
        </w:rPr>
        <w:t xml:space="preserve">Program Assistant</w:t>
      </w:r>
      <w:r>
        <w:t xml:space="preserve">	</w:t>
      </w:r>
      <w:r>
        <w:rPr>
          <w:rFonts w:ascii="EB Garamond" w:cs="EB Garamond" w:eastAsia="EB Garamond" w:hAnsi="EB Garamond"/>
          <w:sz w:val="21"/>
          <w:szCs w:val="21"/>
        </w:rPr>
        <w:t xml:space="preserve">Jun 2023 - May 2024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EB Garamond" w:cs="EB Garamond" w:eastAsia="EB Garamond" w:hAnsi="EB Garamond"/>
          <w:sz w:val="21"/>
          <w:szCs w:val="21"/>
        </w:rPr>
        <w:t xml:space="preserve">Coordinated intake documentation and resource referrals for 300+ community members while maintaining confidentiality and accurate records.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EB Garamond" w:cs="EB Garamond" w:eastAsia="EB Garamond" w:hAnsi="EB Garamond"/>
          <w:sz w:val="21"/>
          <w:szCs w:val="21"/>
        </w:rPr>
        <w:t xml:space="preserve">Wrote weekly service updates for staff and partner organizations, clarifying deadlines, eligibility rules, and documentation needs.</w:t>
      </w:r>
    </w:p>
    <w:p>
      <w:pPr>
        <w:pBdr>
          <w:bottom w:val="single" w:color="111827" w:sz="1"/>
        </w:pBdr>
        <w:spacing w:after="80" w:before="240"/>
      </w:pPr>
      <w:r>
        <w:rPr>
          <w:rFonts w:ascii="EB Garamond" w:cs="EB Garamond" w:eastAsia="EB Garamond" w:hAnsi="EB Garamond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EB Garamond" w:cs="EB Garamond" w:eastAsia="EB Garamond" w:hAnsi="EB Garamond"/>
          <w:b/>
          <w:bCs/>
          <w:sz w:val="21"/>
          <w:szCs w:val="21"/>
        </w:rPr>
        <w:t xml:space="preserve">Legal: </w:t>
      </w:r>
      <w:r>
        <w:rPr>
          <w:rFonts w:ascii="EB Garamond" w:cs="EB Garamond" w:eastAsia="EB Garamond" w:hAnsi="EB Garamond"/>
          <w:sz w:val="21"/>
          <w:szCs w:val="21"/>
        </w:rPr>
        <w:t xml:space="preserve">legal research, legal writing, Bluebook basics, client intake, issue spotting, memo drafting</w:t>
      </w:r>
    </w:p>
    <w:p>
      <w:pPr>
        <w:spacing w:after="40"/>
      </w:pPr>
      <w:r>
        <w:rPr>
          <w:rFonts w:ascii="EB Garamond" w:cs="EB Garamond" w:eastAsia="EB Garamond" w:hAnsi="EB Garamond"/>
          <w:b/>
          <w:bCs/>
          <w:sz w:val="21"/>
          <w:szCs w:val="21"/>
        </w:rPr>
        <w:t xml:space="preserve">Tools: </w:t>
      </w:r>
      <w:r>
        <w:rPr>
          <w:rFonts w:ascii="EB Garamond" w:cs="EB Garamond" w:eastAsia="EB Garamond" w:hAnsi="EB Garamond"/>
          <w:sz w:val="21"/>
          <w:szCs w:val="21"/>
        </w:rPr>
        <w:t xml:space="preserve">Westlaw, Lexis-style research, Microsoft Office, document review</w:t>
      </w:r>
    </w:p>
    <w:p>
      <w:pPr>
        <w:spacing w:after="40"/>
      </w:pPr>
      <w:r>
        <w:rPr>
          <w:rFonts w:ascii="EB Garamond" w:cs="EB Garamond" w:eastAsia="EB Garamond" w:hAnsi="EB Garamond"/>
          <w:b/>
          <w:bCs/>
          <w:sz w:val="21"/>
          <w:szCs w:val="21"/>
        </w:rPr>
        <w:t xml:space="preserve">Languages: </w:t>
      </w:r>
      <w:r>
        <w:rPr>
          <w:rFonts w:ascii="EB Garamond" w:cs="EB Garamond" w:eastAsia="EB Garamond" w:hAnsi="EB Garamond"/>
          <w:sz w:val="21"/>
          <w:szCs w:val="21"/>
        </w:rPr>
        <w:t xml:space="preserve">Spanish conversational proficiency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2026-06-29T22:45:24.023Z</dcterms:created>
  <dcterms:modified xsi:type="dcterms:W3CDTF">2026-06-29T22:45:24.023Z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