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EB Garamond" w:cs="EB Garamond" w:eastAsia="EB Garamond" w:hAnsi="EB Garamond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EB Garamond" w:cs="EB Garamond" w:eastAsia="EB Garamond" w:hAnsi="EB Garamond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EB Garamond" w:cs="EB Garamond" w:eastAsia="EB Garamond" w:hAnsi="EB Garamond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EB Garamond" w:cs="EB Garamond" w:eastAsia="EB Garamond" w:hAnsi="EB Garamond"/>
          <w:b/>
          <w:bCs/>
          <w:sz w:val="22"/>
          <w:szCs w:val="22"/>
        </w:rPr>
        <w:t xml:space="preserve">Public Law School, Juris Doctor Candidate</w:t>
      </w:r>
      <w:r>
        <w:t xml:space="preserve">	</w:t>
      </w:r>
      <w:r>
        <w:rPr>
          <w:rFonts w:ascii="EB Garamond" w:cs="EB Garamond" w:eastAsia="EB Garamond" w:hAnsi="EB Garamond"/>
          <w:sz w:val="21"/>
          <w:szCs w:val="21"/>
        </w:rPr>
        <w:t xml:space="preserve">Expected May 2027</w:t>
      </w:r>
    </w:p>
    <w:p>
      <w:pPr>
        <w:tabs>
          <w:tab w:val="right" w:pos="9026"/>
        </w:tabs>
        <w:spacing w:after="40" w:before="80"/>
      </w:pPr>
      <w:r>
        <w:rPr>
          <w:rFonts w:ascii="EB Garamond" w:cs="EB Garamond" w:eastAsia="EB Garamond" w:hAnsi="EB Garamond"/>
          <w:b/>
          <w:bCs/>
          <w:sz w:val="22"/>
          <w:szCs w:val="22"/>
        </w:rPr>
        <w:t xml:space="preserve">Honors: Dean's List</w:t>
      </w:r>
      <w:r>
        <w:t xml:space="preserve">	</w:t>
      </w:r>
      <w:r>
        <w:rPr>
          <w:rFonts w:ascii="EB Garamond" w:cs="EB Garamond" w:eastAsia="EB Garamond" w:hAnsi="EB Garamond"/>
          <w:sz w:val="21"/>
          <w:szCs w:val="21"/>
        </w:rPr>
        <w:t xml:space="preserve">Journal: Staff Editor, Public Interest Law Journal</w:t>
      </w:r>
    </w:p>
    <w:p>
      <w:pPr>
        <w:spacing w:after="40"/>
      </w:pPr>
      <w:r>
        <w:rPr>
          <w:rFonts w:ascii="EB Garamond" w:cs="EB Garamond" w:eastAsia="EB Garamond" w:hAnsi="EB Garamond"/>
          <w:b/>
          <w:bCs/>
          <w:sz w:val="21"/>
          <w:szCs w:val="21"/>
        </w:rPr>
        <w:t xml:space="preserve">Activities: </w:t>
      </w:r>
      <w:r>
        <w:rPr>
          <w:rFonts w:ascii="EB Garamond" w:cs="EB Garamond" w:eastAsia="EB Garamond" w:hAnsi="EB Garamond"/>
          <w:sz w:val="21"/>
          <w:szCs w:val="21"/>
        </w:rPr>
        <w:t xml:space="preserve">Moot Court Board; Legal Aid Clinic; First-Generation Law Students Association</w:t>
      </w:r>
    </w:p>
    <w:p>
      <w:pPr>
        <w:tabs>
          <w:tab w:val="right" w:pos="9026"/>
        </w:tabs>
        <w:spacing w:after="40" w:before="80"/>
      </w:pPr>
      <w:r>
        <w:rPr>
          <w:rFonts w:ascii="EB Garamond" w:cs="EB Garamond" w:eastAsia="EB Garamond" w:hAnsi="EB Garamond"/>
          <w:b/>
          <w:bCs/>
          <w:sz w:val="22"/>
          <w:szCs w:val="22"/>
        </w:rPr>
        <w:t xml:space="preserve">Public University, Bachelor of Arts in Political Science</w:t>
      </w:r>
      <w:r>
        <w:t xml:space="preserve">	</w:t>
      </w:r>
      <w:r>
        <w:rPr>
          <w:rFonts w:ascii="EB Garamond" w:cs="EB Garamond" w:eastAsia="EB Garamond" w:hAnsi="EB Garamond"/>
          <w:sz w:val="21"/>
          <w:szCs w:val="21"/>
        </w:rPr>
        <w:t xml:space="preserve">May 2024</w:t>
      </w:r>
    </w:p>
    <w:p>
      <w:pPr>
        <w:pBdr>
          <w:bottom w:val="single" w:color="000000" w:sz="1"/>
        </w:pBdr>
        <w:spacing w:after="80" w:before="240"/>
      </w:pPr>
      <w:r>
        <w:rPr>
          <w:rFonts w:ascii="EB Garamond" w:cs="EB Garamond" w:eastAsia="EB Garamond" w:hAnsi="EB Garamond"/>
          <w:b/>
          <w:bCs/>
          <w:color w:val="000000"/>
          <w:sz w:val="20"/>
          <w:szCs w:val="20"/>
        </w:rPr>
        <w:t xml:space="preserve">LEGAL EXPERIENCE</w:t>
      </w:r>
    </w:p>
    <w:p>
      <w:pPr>
        <w:spacing w:after="40"/>
      </w:pPr>
      <w:r>
        <w:rPr>
          <w:rFonts w:ascii="EB Garamond" w:cs="EB Garamond" w:eastAsia="EB Garamond" w:hAnsi="EB Garamond"/>
          <w:b/>
          <w:bCs/>
          <w:sz w:val="21"/>
          <w:szCs w:val="21"/>
        </w:rPr>
        <w:t xml:space="preserve">Legal Aid Clinic</w:t>
      </w:r>
    </w:p>
    <w:p>
      <w:pPr>
        <w:tabs>
          <w:tab w:val="right" w:pos="9026"/>
        </w:tabs>
        <w:spacing w:after="40" w:before="80"/>
      </w:pPr>
      <w:r>
        <w:rPr>
          <w:rFonts w:ascii="EB Garamond" w:cs="EB Garamond" w:eastAsia="EB Garamond" w:hAnsi="EB Garamond"/>
          <w:b/>
          <w:bCs/>
          <w:sz w:val="22"/>
          <w:szCs w:val="22"/>
        </w:rPr>
        <w:t xml:space="preserve">Student Advocate</w:t>
      </w:r>
      <w:r>
        <w:t xml:space="preserve">	</w:t>
      </w:r>
      <w:r>
        <w:rPr>
          <w:rFonts w:ascii="EB Garamond" w:cs="EB Garamond" w:eastAsia="EB Garamond" w:hAnsi="EB Garamond"/>
          <w:sz w:val="21"/>
          <w:szCs w:val="21"/>
        </w:rPr>
        <w:t xml:space="preserve">Jan 2026 -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Conducted client intake interviews under attorney supervision, identifying facts, deadlines, documents, and potential remedies for housing and benefits matters.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Drafted research memos on administrative procedure and tenant protections, synthesizing statutes, regulations, and case law into attorney-ready recommendations.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Prepared hearing binders with pleadings, exhibits, service records, and chronology notes so supervising attorneys could review matters before appearances.</w:t>
      </w:r>
    </w:p>
    <w:p>
      <w:pPr>
        <w:spacing w:after="40"/>
      </w:pPr>
      <w:r>
        <w:rPr>
          <w:rFonts w:ascii="EB Garamond" w:cs="EB Garamond" w:eastAsia="EB Garamond" w:hAnsi="EB Garamond"/>
          <w:b/>
          <w:bCs/>
          <w:sz w:val="21"/>
          <w:szCs w:val="21"/>
        </w:rPr>
        <w:t xml:space="preserve">Public Interest Organization</w:t>
      </w:r>
    </w:p>
    <w:p>
      <w:pPr>
        <w:tabs>
          <w:tab w:val="right" w:pos="9026"/>
        </w:tabs>
        <w:spacing w:after="40" w:before="80"/>
      </w:pPr>
      <w:r>
        <w:rPr>
          <w:rFonts w:ascii="EB Garamond" w:cs="EB Garamond" w:eastAsia="EB Garamond" w:hAnsi="EB Garamond"/>
          <w:b/>
          <w:bCs/>
          <w:sz w:val="22"/>
          <w:szCs w:val="22"/>
        </w:rPr>
        <w:t xml:space="preserve">Legal Intern</w:t>
      </w:r>
      <w:r>
        <w:t xml:space="preserve">	</w:t>
      </w:r>
      <w:r>
        <w:rPr>
          <w:rFonts w:ascii="EB Garamond" w:cs="EB Garamond" w:eastAsia="EB Garamond" w:hAnsi="EB Garamond"/>
          <w:sz w:val="21"/>
          <w:szCs w:val="21"/>
        </w:rPr>
        <w:t xml:space="preserve">Jun 2025 - Aug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Researched state and federal authorities for impact litigation team and prepared concise case summaries for attorney review.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Assisted with know-your-rights materials by translating legal standards into plain-language guidance for community workshops.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Reviewed intake data to identify recurring access-to-benefits issues and summarized patterns for a policy advocacy memo.</w:t>
      </w:r>
    </w:p>
    <w:p>
      <w:pPr>
        <w:pBdr>
          <w:bottom w:val="single" w:color="000000" w:sz="1"/>
        </w:pBdr>
        <w:spacing w:after="80" w:before="240"/>
      </w:pPr>
      <w:r>
        <w:rPr>
          <w:rFonts w:ascii="EB Garamond" w:cs="EB Garamond" w:eastAsia="EB Garamond" w:hAnsi="EB Garamond"/>
          <w:b/>
          <w:bCs/>
          <w:color w:val="000000"/>
          <w:sz w:val="20"/>
          <w:szCs w:val="20"/>
        </w:rPr>
        <w:t xml:space="preserve">JOURNAL &amp; ADVOCACY</w:t>
      </w:r>
    </w:p>
    <w:p>
      <w:pPr>
        <w:spacing w:after="40"/>
      </w:pPr>
      <w:r>
        <w:rPr>
          <w:rFonts w:ascii="EB Garamond" w:cs="EB Garamond" w:eastAsia="EB Garamond" w:hAnsi="EB Garamond"/>
          <w:b/>
          <w:bCs/>
          <w:sz w:val="21"/>
          <w:szCs w:val="21"/>
        </w:rPr>
        <w:t xml:space="preserve">Public Interest Law Journal</w:t>
      </w:r>
    </w:p>
    <w:p>
      <w:pPr>
        <w:tabs>
          <w:tab w:val="right" w:pos="9026"/>
        </w:tabs>
        <w:spacing w:after="40" w:before="80"/>
      </w:pPr>
      <w:r>
        <w:rPr>
          <w:rFonts w:ascii="EB Garamond" w:cs="EB Garamond" w:eastAsia="EB Garamond" w:hAnsi="EB Garamond"/>
          <w:b/>
          <w:bCs/>
          <w:sz w:val="22"/>
          <w:szCs w:val="22"/>
        </w:rPr>
        <w:t xml:space="preserve">Staff Editor</w:t>
      </w:r>
      <w:r>
        <w:t xml:space="preserve">	</w:t>
      </w:r>
      <w:r>
        <w:rPr>
          <w:rFonts w:ascii="EB Garamond" w:cs="EB Garamond" w:eastAsia="EB Garamond" w:hAnsi="EB Garamond"/>
          <w:sz w:val="21"/>
          <w:szCs w:val="21"/>
        </w:rPr>
        <w:t xml:space="preserve">Aug 2025 -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Cite-checked student notes for Bluebook accuracy, source support, and internal consistency under editorial deadlines.</w:t>
      </w:r>
    </w:p>
    <w:p>
      <w:pPr>
        <w:spacing w:after="40"/>
      </w:pPr>
      <w:r>
        <w:rPr>
          <w:rFonts w:ascii="EB Garamond" w:cs="EB Garamond" w:eastAsia="EB Garamond" w:hAnsi="EB Garamond"/>
          <w:b/>
          <w:bCs/>
          <w:sz w:val="21"/>
          <w:szCs w:val="21"/>
        </w:rPr>
        <w:t xml:space="preserve">Moot Court Board</w:t>
      </w:r>
    </w:p>
    <w:p>
      <w:pPr>
        <w:tabs>
          <w:tab w:val="right" w:pos="9026"/>
        </w:tabs>
        <w:spacing w:after="40" w:before="80"/>
      </w:pPr>
      <w:r>
        <w:rPr>
          <w:rFonts w:ascii="EB Garamond" w:cs="EB Garamond" w:eastAsia="EB Garamond" w:hAnsi="EB Garamond"/>
          <w:b/>
          <w:bCs/>
          <w:sz w:val="22"/>
          <w:szCs w:val="22"/>
        </w:rPr>
        <w:t xml:space="preserve">Team Member</w:t>
      </w:r>
      <w:r>
        <w:t xml:space="preserve">	</w:t>
      </w:r>
      <w:r>
        <w:rPr>
          <w:rFonts w:ascii="EB Garamond" w:cs="EB Garamond" w:eastAsia="EB Garamond" w:hAnsi="EB Garamond"/>
          <w:sz w:val="21"/>
          <w:szCs w:val="21"/>
        </w:rPr>
        <w:t xml:space="preserve">Sep 2025 -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Drafted appellate argument outline and practiced judge-style questioning, refining issue framing and record citations with peer feedback.</w:t>
      </w:r>
    </w:p>
    <w:p>
      <w:pPr>
        <w:pBdr>
          <w:bottom w:val="single" w:color="000000" w:sz="1"/>
        </w:pBdr>
        <w:spacing w:after="80" w:before="240"/>
      </w:pPr>
      <w:r>
        <w:rPr>
          <w:rFonts w:ascii="EB Garamond" w:cs="EB Garamond" w:eastAsia="EB Garamond" w:hAnsi="EB Garamond"/>
          <w:b/>
          <w:bCs/>
          <w:color w:val="000000"/>
          <w:sz w:val="20"/>
          <w:szCs w:val="20"/>
        </w:rPr>
        <w:t xml:space="preserve">ADDITIONAL EXPERIENCE</w:t>
      </w:r>
    </w:p>
    <w:p>
      <w:pPr>
        <w:spacing w:after="40"/>
      </w:pPr>
      <w:r>
        <w:rPr>
          <w:rFonts w:ascii="EB Garamond" w:cs="EB Garamond" w:eastAsia="EB Garamond" w:hAnsi="EB Garamond"/>
          <w:b/>
          <w:bCs/>
          <w:sz w:val="21"/>
          <w:szCs w:val="21"/>
        </w:rPr>
        <w:t xml:space="preserve">Community Services Organization</w:t>
      </w:r>
    </w:p>
    <w:p>
      <w:pPr>
        <w:tabs>
          <w:tab w:val="right" w:pos="9026"/>
        </w:tabs>
        <w:spacing w:after="40" w:before="80"/>
      </w:pPr>
      <w:r>
        <w:rPr>
          <w:rFonts w:ascii="EB Garamond" w:cs="EB Garamond" w:eastAsia="EB Garamond" w:hAnsi="EB Garamond"/>
          <w:b/>
          <w:bCs/>
          <w:sz w:val="22"/>
          <w:szCs w:val="22"/>
        </w:rPr>
        <w:t xml:space="preserve">Program Assistant</w:t>
      </w:r>
      <w:r>
        <w:t xml:space="preserve">	</w:t>
      </w:r>
      <w:r>
        <w:rPr>
          <w:rFonts w:ascii="EB Garamond" w:cs="EB Garamond" w:eastAsia="EB Garamond" w:hAnsi="EB Garamond"/>
          <w:sz w:val="21"/>
          <w:szCs w:val="21"/>
        </w:rPr>
        <w:t xml:space="preserve">Jun 2023 - May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Coordinated intake documentation and resource referrals for 300+ community members while maintaining confidentiality and accurate records.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EB Garamond" w:cs="EB Garamond" w:eastAsia="EB Garamond" w:hAnsi="EB Garamond"/>
          <w:sz w:val="21"/>
          <w:szCs w:val="21"/>
        </w:rPr>
        <w:t xml:space="preserve">Wrote weekly service updates for staff and partner organizations, clarifying deadlines, eligibility rules, and documentation needs.</w:t>
      </w:r>
    </w:p>
    <w:p>
      <w:pPr>
        <w:pBdr>
          <w:bottom w:val="single" w:color="000000" w:sz="1"/>
        </w:pBdr>
        <w:spacing w:after="80" w:before="240"/>
      </w:pPr>
      <w:r>
        <w:rPr>
          <w:rFonts w:ascii="EB Garamond" w:cs="EB Garamond" w:eastAsia="EB Garamond" w:hAnsi="EB Garamond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EB Garamond" w:cs="EB Garamond" w:eastAsia="EB Garamond" w:hAnsi="EB Garamond"/>
          <w:b/>
          <w:bCs/>
          <w:sz w:val="21"/>
          <w:szCs w:val="21"/>
        </w:rPr>
        <w:t xml:space="preserve">Legal: </w:t>
      </w:r>
      <w:r>
        <w:rPr>
          <w:rFonts w:ascii="EB Garamond" w:cs="EB Garamond" w:eastAsia="EB Garamond" w:hAnsi="EB Garamond"/>
          <w:sz w:val="21"/>
          <w:szCs w:val="21"/>
        </w:rPr>
        <w:t xml:space="preserve">legal research, legal writing, Bluebook basics, client intake, issue spotting, memo drafting</w:t>
      </w:r>
    </w:p>
    <w:p>
      <w:pPr>
        <w:spacing w:after="40"/>
      </w:pPr>
      <w:r>
        <w:rPr>
          <w:rFonts w:ascii="EB Garamond" w:cs="EB Garamond" w:eastAsia="EB Garamond" w:hAnsi="EB Garamond"/>
          <w:b/>
          <w:bCs/>
          <w:sz w:val="21"/>
          <w:szCs w:val="21"/>
        </w:rPr>
        <w:t xml:space="preserve">Tools: </w:t>
      </w:r>
      <w:r>
        <w:rPr>
          <w:rFonts w:ascii="EB Garamond" w:cs="EB Garamond" w:eastAsia="EB Garamond" w:hAnsi="EB Garamond"/>
          <w:sz w:val="21"/>
          <w:szCs w:val="21"/>
        </w:rPr>
        <w:t xml:space="preserve">Westlaw, Lexis-style research, Microsoft Office, document review</w:t>
      </w:r>
    </w:p>
    <w:p>
      <w:pPr>
        <w:spacing w:after="40"/>
      </w:pPr>
      <w:r>
        <w:rPr>
          <w:rFonts w:ascii="EB Garamond" w:cs="EB Garamond" w:eastAsia="EB Garamond" w:hAnsi="EB Garamond"/>
          <w:b/>
          <w:bCs/>
          <w:sz w:val="21"/>
          <w:szCs w:val="21"/>
        </w:rPr>
        <w:t xml:space="preserve">Languages: </w:t>
      </w:r>
      <w:r>
        <w:rPr>
          <w:rFonts w:ascii="EB Garamond" w:cs="EB Garamond" w:eastAsia="EB Garamond" w:hAnsi="EB Garamond"/>
          <w:sz w:val="21"/>
          <w:szCs w:val="21"/>
        </w:rPr>
        <w:t xml:space="preserve">Spanish conversational proficiency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2026-10-12T15:49:47.907Z</dcterms:created>
  <dcterms:modified xsi:type="dcterms:W3CDTF">2026-10-12T15:49:47.907Z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