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New graduate registered nurse with BSN preparation, 720 clinical hours, BLS certification, and focused experience in medical-surgical, telemetry, and community health settings. Prepared to deliver safe, evidence-based care with strong patient education and interdisciplinary communication.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LICENSURE &amp; CERTIFICATIONS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Registered Nurse (RN), State Board of Nursing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License active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Basic Life Support (BLS) | American Heart Association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Active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Advanced Cardiovascular Life Support (ACLS)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Completion expected before start date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CLINICAL 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Regional Hospital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Medical-Surgical Clinical Rotation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Jan 2026 - Apr 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Completed 180 hours caring for 4-6 adult patients per shift under RN supervision, including vital signs, focused assessments, medication administration observation, wound care support, and discharge education.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Documented patient observations in an EHR training environment and communicated changes in condition using SBAR during preceptor check-ins.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Community Health Clinic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Population Health Clinical Rotation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Sep 2025 - Dec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Supported preventive care visits, patient education, and resource navigation for diverse adult patients managing chronic conditions.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Practiced motivational interviewing and teach-back techniques for medication adherence, nutrition, and follow-up appointment planning.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Regional Hospital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Senior Preceptorship, Telemetry Unit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Apr 2026 - May 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Completed 120-hour preceptorship focused on cardiac monitoring, fall prevention, medication safety, and interdisciplinary rounding.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Long-Term Care Center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Patient Care Technician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2024 - Aug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Assisted residents with activities of daily living, vital signs, mobility support, and timely escalation of condition changes to nursing staff.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Clinical: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patient assessment, vital signs, care plans, medication safety, wound care support, fall prevention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Systems: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EHR documentation, SBAR communication, discharge education, infection control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Patient Care: </w:t>
      </w:r>
      <w:r>
        <w:rPr>
          <w:rFonts w:ascii="Source Sans 3" w:cs="Source Sans 3" w:eastAsia="Source Sans 3" w:hAnsi="Source Sans 3"/>
          <w:sz w:val="21"/>
          <w:szCs w:val="21"/>
        </w:rPr>
        <w:t xml:space="preserve">therapeutic communication, family education, prioritization, interdisciplinary teamwork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Nursing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2026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Dean's List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Senior capstone focused on reducing readmission risk through discharge education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2026-08-24T10:40:21.838Z</dcterms:created>
  <dcterms:modified xsi:type="dcterms:W3CDTF">2026-08-24T10:40:21.838Z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