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Source Sans 3" w:cs="Source Sans 3" w:eastAsia="Source Sans 3" w:hAnsi="Source Sans 3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Source Sans 3" w:cs="Source Sans 3" w:eastAsia="Source Sans 3" w:hAnsi="Source Sans 3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Source Sans 3" w:cs="Source Sans 3" w:eastAsia="Source Sans 3" w:hAnsi="Source Sans 3"/>
          <w:b w:val="false"/>
          <w:bCs w:val="false"/>
          <w:sz w:val="21"/>
          <w:szCs w:val="21"/>
        </w:rPr>
        <w:t xml:space="preserve">Registered nurse with 7 years in high-volume medical-surgical and telemetry units, caring for 4-6 patients per shift. Strong in patient assessment, medication safety, EHR documentation, discharge education, precepting, and quality improvement.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LICENSURE &amp; CERTIFICATIONS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Registered Nurse (RN), State Board of Nursing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Active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Basic Life Support (BLS)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Active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Advanced Cardiovascular Life Support (ACLS)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Active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Regional Hospital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Registered Nurse, Telemetry Unit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Jun 2021 -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Provide care for 4-5 telemetry patients per shift, including assessments, medication administration, cardiac monitoring, patient education, and interdisciplinary care coordination.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Precepted 9 new nurses and student nurses, creating shift-readiness checklist adopted by the unit educator.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Participated in fall-prevention initiative that reduced unit falls by 18% over two quarters through rounding prompts and patient education reinforcement.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Community Medical Center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Registered Nurse, Medical-Surgical Unit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Jul 2017 - May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Managed 5-6 adult patients per shift in a fast-paced med-surg unit, prioritizing care plans, discharge preparation, and family communication.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Improved discharge instruction consistency by collaborating with case management and pharmacy on a teach-back checklist.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Served as relief charge nurse for weekend shifts, coordinating assignments, admissions, and escalation paths during high census periods.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Clinical: </w:t>
      </w:r>
      <w:r>
        <w:rPr>
          <w:rFonts w:ascii="Source Sans 3" w:cs="Source Sans 3" w:eastAsia="Source Sans 3" w:hAnsi="Source Sans 3"/>
          <w:sz w:val="21"/>
          <w:szCs w:val="21"/>
        </w:rPr>
        <w:t xml:space="preserve">patient assessment, telemetry, medication administration, IV therapy, wound care, discharge education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Systems &amp; Safety: </w:t>
      </w:r>
      <w:r>
        <w:rPr>
          <w:rFonts w:ascii="Source Sans 3" w:cs="Source Sans 3" w:eastAsia="Source Sans 3" w:hAnsi="Source Sans 3"/>
          <w:sz w:val="21"/>
          <w:szCs w:val="21"/>
        </w:rPr>
        <w:t xml:space="preserve">Epic-style EHR, SBAR, fall prevention, infection control, quality improvement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Leadership: </w:t>
      </w:r>
      <w:r>
        <w:rPr>
          <w:rFonts w:ascii="Source Sans 3" w:cs="Source Sans 3" w:eastAsia="Source Sans 3" w:hAnsi="Source Sans 3"/>
          <w:sz w:val="21"/>
          <w:szCs w:val="21"/>
        </w:rPr>
        <w:t xml:space="preserve">precepting, charge support, interdisciplinary rounding, patient advocacy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Public University, Bachelor of Science in Nursing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May 2017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2026-08-24T10:40:34.008Z</dcterms:created>
  <dcterms:modified xsi:type="dcterms:W3CDTF">2026-08-24T10:40:34.008Z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