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IBM Plex Sans" w:cs="IBM Plex Sans" w:eastAsia="IBM Plex Sans" w:hAnsi="IBM Plex Sans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IBM Plex Sans" w:cs="IBM Plex Sans" w:eastAsia="IBM Plex Sans" w:hAnsi="IBM Plex Sans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IBM Plex Sans" w:cs="IBM Plex Sans" w:eastAsia="IBM Plex Sans" w:hAnsi="IBM Plex Sans"/>
          <w:b w:val="false"/>
          <w:bCs w:val="false"/>
          <w:sz w:val="21"/>
          <w:szCs w:val="21"/>
        </w:rPr>
        <w:t xml:space="preserve">SaaS account executive with 5 years selling workflow software to mid-market operations and finance teams. Achieved 118% average quota attainment across 8 quarters through disciplined outbound, consultative discovery, and multi-threaded enterprise selling.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Sales Motion: </w:t>
      </w:r>
      <w:r>
        <w:rPr>
          <w:rFonts w:ascii="IBM Plex Sans" w:cs="IBM Plex Sans" w:eastAsia="IBM Plex Sans" w:hAnsi="IBM Plex Sans"/>
          <w:sz w:val="21"/>
          <w:szCs w:val="21"/>
        </w:rPr>
        <w:t xml:space="preserve">outbound prospecting, discovery, qualification, demos, negotiation, closing, mutual action plans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Metrics: </w:t>
      </w:r>
      <w:r>
        <w:rPr>
          <w:rFonts w:ascii="IBM Plex Sans" w:cs="IBM Plex Sans" w:eastAsia="IBM Plex Sans" w:hAnsi="IBM Plex Sans"/>
          <w:sz w:val="21"/>
          <w:szCs w:val="21"/>
        </w:rPr>
        <w:t xml:space="preserve">quota attainment, pipeline coverage, ARR, ACV, win rate, sales cycle, forecast accuracy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Tools: </w:t>
      </w:r>
      <w:r>
        <w:rPr>
          <w:rFonts w:ascii="IBM Plex Sans" w:cs="IBM Plex Sans" w:eastAsia="IBM Plex Sans" w:hAnsi="IBM Plex Sans"/>
          <w:sz w:val="21"/>
          <w:szCs w:val="21"/>
        </w:rPr>
        <w:t xml:space="preserve">Salesforce, HubSpot, Outreach, LinkedIn Sales Navigator, Gong-style call review, Excel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B2B SaaS Company</w:t>
      </w:r>
    </w:p>
    <w:p>
      <w:pPr>
        <w:tabs>
          <w:tab w:val="right" w:pos="9026"/>
        </w:tabs>
        <w:spacing w:after="40" w:before="80"/>
      </w:pPr>
      <w:r>
        <w:rPr>
          <w:rFonts w:ascii="IBM Plex Sans" w:cs="IBM Plex Sans" w:eastAsia="IBM Plex Sans" w:hAnsi="IBM Plex Sans"/>
          <w:b/>
          <w:bCs/>
          <w:sz w:val="22"/>
          <w:szCs w:val="22"/>
        </w:rPr>
        <w:t xml:space="preserve">Account Executive</w:t>
      </w:r>
      <w:r>
        <w:t xml:space="preserve">	</w:t>
      </w:r>
      <w:r>
        <w:rPr>
          <w:rFonts w:ascii="IBM Plex Sans" w:cs="IBM Plex Sans" w:eastAsia="IBM Plex Sans" w:hAnsi="IBM Plex Sans"/>
          <w:sz w:val="21"/>
          <w:szCs w:val="21"/>
        </w:rPr>
        <w:t xml:space="preserve">Mar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Closed $1.7M in new ARR in 2025, finishing at 124% of quota across 42 mid-market deals with an average contract value of $41K.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Built 3.4x pipeline coverage by targeting finance and operations leaders with trigger-based outbound sequences, partner referrals, and executive multi-threading.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Improved win rate from 22% to 31% by standardizing discovery around pain, buying process, business impact, and mutual success criteria.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Maintained 96% forecast accuracy by keeping Salesforce opportunity stages, next steps, and close plans current for weekly pipeline reviews.</w:t>
      </w:r>
    </w:p>
    <w:p>
      <w:pPr>
        <w:spacing w:after="40"/>
      </w:pPr>
      <w:r>
        <w:rPr>
          <w:rFonts w:ascii="IBM Plex Sans" w:cs="IBM Plex Sans" w:eastAsia="IBM Plex Sans" w:hAnsi="IBM Plex Sans"/>
          <w:b/>
          <w:bCs/>
          <w:sz w:val="21"/>
          <w:szCs w:val="21"/>
        </w:rPr>
        <w:t xml:space="preserve">Workflow Services Company</w:t>
      </w:r>
    </w:p>
    <w:p>
      <w:pPr>
        <w:tabs>
          <w:tab w:val="right" w:pos="9026"/>
        </w:tabs>
        <w:spacing w:after="40" w:before="80"/>
      </w:pPr>
      <w:r>
        <w:rPr>
          <w:rFonts w:ascii="IBM Plex Sans" w:cs="IBM Plex Sans" w:eastAsia="IBM Plex Sans" w:hAnsi="IBM Plex Sans"/>
          <w:b/>
          <w:bCs/>
          <w:sz w:val="22"/>
          <w:szCs w:val="22"/>
        </w:rPr>
        <w:t xml:space="preserve">Business Development Representative</w:t>
      </w:r>
      <w:r>
        <w:t xml:space="preserve">	</w:t>
      </w:r>
      <w:r>
        <w:rPr>
          <w:rFonts w:ascii="IBM Plex Sans" w:cs="IBM Plex Sans" w:eastAsia="IBM Plex Sans" w:hAnsi="IBM Plex Sans"/>
          <w:sz w:val="21"/>
          <w:szCs w:val="21"/>
        </w:rPr>
        <w:t xml:space="preserve">Jul 2019 - Feb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Sourced $2.2M qualified pipeline and 34 sales-accepted opportunities through outbound email, phone, and LinkedIn sequences.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Partnered with account executives to refine persona-specific talk tracks that increased meeting conversion by 18%.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IBM Plex Sans" w:cs="IBM Plex Sans" w:eastAsia="IBM Plex Sans" w:hAnsi="IBM Plex Sans"/>
          <w:sz w:val="21"/>
          <w:szCs w:val="21"/>
        </w:rPr>
        <w:t xml:space="preserve">Promoted to closing role after ranking in the top 12% of BDR team for sourced pipeline and clean CRM handoff quality.</w:t>
      </w:r>
    </w:p>
    <w:p>
      <w:pPr>
        <w:pBdr>
          <w:bottom w:val="single" w:color="111827" w:sz="1"/>
        </w:pBdr>
        <w:spacing w:after="80" w:before="240"/>
      </w:pPr>
      <w:r>
        <w:rPr>
          <w:rFonts w:ascii="IBM Plex Sans" w:cs="IBM Plex Sans" w:eastAsia="IBM Plex Sans" w:hAnsi="IBM Plex Sans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IBM Plex Sans" w:cs="IBM Plex Sans" w:eastAsia="IBM Plex Sans" w:hAnsi="IBM Plex Sans"/>
          <w:b/>
          <w:bCs/>
          <w:sz w:val="22"/>
          <w:szCs w:val="22"/>
        </w:rPr>
        <w:t xml:space="preserve">Public University, Bachelor of Arts in Communication</w:t>
      </w:r>
      <w:r>
        <w:t xml:space="preserve">	</w:t>
      </w:r>
      <w:r>
        <w:rPr>
          <w:rFonts w:ascii="IBM Plex Sans" w:cs="IBM Plex Sans" w:eastAsia="IBM Plex Sans" w:hAnsi="IBM Plex Sans"/>
          <w:sz w:val="21"/>
          <w:szCs w:val="21"/>
        </w:rPr>
        <w:t xml:space="preserve">May 2019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2026-06-29T22:28:13.454Z</dcterms:created>
  <dcterms:modified xsi:type="dcterms:W3CDTF">2026-06-29T22:28:13.454Z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